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9B2C7" w14:textId="6A4F1B97" w:rsidR="004B5820" w:rsidRDefault="004B5820" w:rsidP="00005ED2">
      <w:pPr>
        <w:pStyle w:val="Header"/>
        <w:tabs>
          <w:tab w:val="clear" w:pos="8504"/>
          <w:tab w:val="right" w:pos="9360"/>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Pr>
          <w:rFonts w:ascii="Arial" w:eastAsia="MS Mincho" w:hAnsi="Arial" w:cs="Arial"/>
          <w:b/>
          <w:bCs/>
          <w:sz w:val="28"/>
          <w:lang w:eastAsia="ja-JP"/>
        </w:rPr>
        <w:t>85</w:t>
      </w:r>
      <w:r>
        <w:rPr>
          <w:rFonts w:ascii="Arial" w:eastAsia="MS Mincho" w:hAnsi="Arial" w:cs="Arial"/>
          <w:b/>
          <w:bCs/>
          <w:sz w:val="28"/>
          <w:lang w:eastAsia="ja-JP"/>
        </w:rPr>
        <w:tab/>
        <w:t>R1-</w:t>
      </w:r>
      <w:r w:rsidR="005D15DF" w:rsidRPr="005D15DF">
        <w:rPr>
          <w:rFonts w:ascii="Arial" w:eastAsia="MS Mincho" w:hAnsi="Arial" w:cs="Arial"/>
          <w:b/>
          <w:bCs/>
          <w:sz w:val="28"/>
          <w:lang w:eastAsia="ja-JP"/>
        </w:rPr>
        <w:t>164441</w:t>
      </w:r>
    </w:p>
    <w:p w14:paraId="0F7C4AF9" w14:textId="77777777" w:rsidR="004B5820" w:rsidRDefault="004B5820" w:rsidP="004B5820">
      <w:pPr>
        <w:pStyle w:val="Header"/>
        <w:spacing w:before="120"/>
        <w:rPr>
          <w:rFonts w:ascii="Arial" w:eastAsia="MS Mincho" w:hAnsi="Arial" w:cs="Arial"/>
          <w:b/>
          <w:bCs/>
          <w:sz w:val="28"/>
          <w:lang w:eastAsia="ja-JP"/>
        </w:rPr>
      </w:pPr>
      <w:r>
        <w:rPr>
          <w:rFonts w:ascii="Arial" w:eastAsia="MS Mincho" w:hAnsi="Arial" w:cs="Arial"/>
          <w:b/>
          <w:bCs/>
          <w:sz w:val="28"/>
          <w:lang w:eastAsia="ja-JP"/>
        </w:rPr>
        <w:t>Nanjing, China 23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 2016</w:t>
      </w:r>
    </w:p>
    <w:p w14:paraId="62B64A05" w14:textId="10BED0A1"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751F740C"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B5820">
        <w:rPr>
          <w:rFonts w:ascii="Arial" w:hAnsi="Arial" w:cs="Arial"/>
          <w:snapToGrid w:val="0"/>
          <w:sz w:val="24"/>
        </w:rPr>
        <w:t>6</w:t>
      </w:r>
      <w:r w:rsidR="003775E1">
        <w:rPr>
          <w:rFonts w:ascii="Arial" w:hAnsi="Arial" w:cs="Arial"/>
          <w:snapToGrid w:val="0"/>
          <w:sz w:val="24"/>
        </w:rPr>
        <w:t>.</w:t>
      </w:r>
      <w:r w:rsidR="004B5820">
        <w:rPr>
          <w:rFonts w:ascii="Arial" w:hAnsi="Arial" w:cs="Arial"/>
          <w:snapToGrid w:val="0"/>
          <w:sz w:val="24"/>
        </w:rPr>
        <w:t>2</w:t>
      </w:r>
      <w:r w:rsidR="003775E1">
        <w:rPr>
          <w:rFonts w:ascii="Arial" w:hAnsi="Arial" w:cs="Arial"/>
          <w:snapToGrid w:val="0"/>
          <w:sz w:val="24"/>
        </w:rPr>
        <w:t>.5.</w:t>
      </w:r>
      <w:r w:rsidR="004B5820">
        <w:rPr>
          <w:rFonts w:ascii="Arial" w:hAnsi="Arial" w:cs="Arial"/>
          <w:snapToGrid w:val="0"/>
          <w:sz w:val="24"/>
        </w:rPr>
        <w:t>3</w:t>
      </w:r>
    </w:p>
    <w:p w14:paraId="41E492CE" w14:textId="15188A54"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0D12EF18" w14:textId="24C89AD7" w:rsidR="00CC3148" w:rsidRDefault="002A2420" w:rsidP="00CC3148">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4B5820" w:rsidRPr="004B5820">
        <w:rPr>
          <w:rFonts w:ascii="Arial" w:hAnsi="Arial" w:cs="Arial"/>
          <w:snapToGrid w:val="0"/>
          <w:sz w:val="24"/>
        </w:rPr>
        <w:t xml:space="preserve">MBSFN </w:t>
      </w:r>
      <w:proofErr w:type="spellStart"/>
      <w:r w:rsidR="004B5820" w:rsidRPr="004B5820">
        <w:rPr>
          <w:rFonts w:ascii="Arial" w:hAnsi="Arial" w:cs="Arial"/>
          <w:snapToGrid w:val="0"/>
          <w:sz w:val="24"/>
        </w:rPr>
        <w:t>subframes</w:t>
      </w:r>
      <w:proofErr w:type="spellEnd"/>
      <w:r w:rsidR="004B5820" w:rsidRPr="004B5820">
        <w:rPr>
          <w:rFonts w:ascii="Arial" w:hAnsi="Arial" w:cs="Arial"/>
          <w:snapToGrid w:val="0"/>
          <w:sz w:val="24"/>
        </w:rPr>
        <w:t xml:space="preserve"> without a unicast control region and cell-specific reference signals</w:t>
      </w:r>
    </w:p>
    <w:p w14:paraId="243C1E78" w14:textId="77777777" w:rsidR="00CF417F" w:rsidRPr="000F29F8" w:rsidRDefault="002A2420" w:rsidP="00CF417F">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38CBFD88" w:rsidR="00111B9A" w:rsidRP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In this document we provide our views on the support of </w:t>
      </w:r>
      <w:r w:rsidR="00CC3148">
        <w:rPr>
          <w:rFonts w:ascii="Times New Roman"/>
          <w:snapToGrid w:val="0"/>
          <w:kern w:val="0"/>
          <w:sz w:val="22"/>
          <w:szCs w:val="22"/>
          <w:lang w:val="en-GB"/>
        </w:rPr>
        <w:t xml:space="preserve">longer </w:t>
      </w:r>
      <w:r w:rsidR="004B5820">
        <w:rPr>
          <w:rFonts w:ascii="Times New Roman"/>
          <w:snapToGrid w:val="0"/>
          <w:kern w:val="0"/>
          <w:sz w:val="22"/>
          <w:szCs w:val="22"/>
          <w:lang w:val="en-GB"/>
        </w:rPr>
        <w:t xml:space="preserve">MBSFN </w:t>
      </w:r>
      <w:proofErr w:type="spellStart"/>
      <w:r w:rsidR="004B5820">
        <w:rPr>
          <w:rFonts w:ascii="Times New Roman"/>
          <w:snapToGrid w:val="0"/>
          <w:kern w:val="0"/>
          <w:sz w:val="22"/>
          <w:szCs w:val="22"/>
          <w:lang w:val="en-GB"/>
        </w:rPr>
        <w:t>subframes</w:t>
      </w:r>
      <w:proofErr w:type="spellEnd"/>
      <w:r w:rsidR="004B5820">
        <w:rPr>
          <w:rFonts w:ascii="Times New Roman"/>
          <w:snapToGrid w:val="0"/>
          <w:kern w:val="0"/>
          <w:sz w:val="22"/>
          <w:szCs w:val="22"/>
          <w:lang w:val="en-GB"/>
        </w:rPr>
        <w:t xml:space="preserve"> without unicast control region and cell-specific reference signals</w:t>
      </w:r>
      <w:r w:rsidR="00D16725">
        <w:rPr>
          <w:rFonts w:ascii="Times New Roman"/>
          <w:snapToGrid w:val="0"/>
          <w:kern w:val="0"/>
          <w:sz w:val="22"/>
          <w:szCs w:val="22"/>
          <w:lang w:val="en-GB"/>
        </w:rPr>
        <w:t>.</w:t>
      </w:r>
    </w:p>
    <w:bookmarkEnd w:id="0"/>
    <w:bookmarkEnd w:id="1"/>
    <w:p w14:paraId="0307A6C6" w14:textId="77777777" w:rsidR="004B5820" w:rsidRPr="00597774" w:rsidRDefault="004B5820" w:rsidP="004B5820">
      <w:pPr>
        <w:pStyle w:val="LGTdoc1"/>
        <w:spacing w:beforeLines="0" w:before="120" w:after="220" w:afterAutospacing="0"/>
        <w:rPr>
          <w:b w:val="0"/>
          <w:sz w:val="22"/>
          <w:szCs w:val="22"/>
        </w:rPr>
      </w:pPr>
    </w:p>
    <w:p w14:paraId="5795A743" w14:textId="120BA5D2" w:rsidR="004B5820" w:rsidRDefault="004B5820" w:rsidP="004B5820">
      <w:pPr>
        <w:pStyle w:val="LGTdoc1"/>
        <w:numPr>
          <w:ilvl w:val="0"/>
          <w:numId w:val="3"/>
        </w:numPr>
        <w:spacing w:beforeLines="0" w:before="120" w:after="220" w:afterAutospacing="0"/>
        <w:rPr>
          <w:rFonts w:ascii="Arial" w:hAnsi="Arial" w:cs="Arial"/>
          <w:lang w:val="en-US"/>
        </w:rPr>
      </w:pPr>
      <w:r>
        <w:rPr>
          <w:rFonts w:ascii="Arial" w:hAnsi="Arial" w:cs="Arial"/>
          <w:lang w:val="en-US"/>
        </w:rPr>
        <w:t>Signaling details of presence of control region</w:t>
      </w:r>
    </w:p>
    <w:p w14:paraId="4B1BF457" w14:textId="44F60DED" w:rsidR="004B5820" w:rsidRDefault="004B5820" w:rsidP="00597774">
      <w:pPr>
        <w:pStyle w:val="LGTdoc1"/>
        <w:spacing w:beforeLines="0" w:before="120" w:after="220" w:afterAutospacing="0"/>
        <w:rPr>
          <w:b w:val="0"/>
          <w:sz w:val="22"/>
          <w:szCs w:val="22"/>
        </w:rPr>
      </w:pPr>
      <w:r>
        <w:rPr>
          <w:b w:val="0"/>
          <w:sz w:val="22"/>
          <w:szCs w:val="22"/>
        </w:rPr>
        <w:t xml:space="preserve">Similarly to the MBSFN definition, we can include additional signalling to indicate the presence or absence of control region in a given </w:t>
      </w:r>
      <w:proofErr w:type="spellStart"/>
      <w:r>
        <w:rPr>
          <w:b w:val="0"/>
          <w:sz w:val="22"/>
          <w:szCs w:val="22"/>
        </w:rPr>
        <w:t>subframe</w:t>
      </w:r>
      <w:proofErr w:type="spellEnd"/>
      <w:r>
        <w:rPr>
          <w:b w:val="0"/>
          <w:sz w:val="22"/>
          <w:szCs w:val="22"/>
        </w:rPr>
        <w:t xml:space="preserve">. With this, for a given </w:t>
      </w:r>
      <w:proofErr w:type="spellStart"/>
      <w:r>
        <w:rPr>
          <w:b w:val="0"/>
          <w:sz w:val="22"/>
          <w:szCs w:val="22"/>
        </w:rPr>
        <w:t>subframe</w:t>
      </w:r>
      <w:proofErr w:type="spellEnd"/>
      <w:r>
        <w:rPr>
          <w:b w:val="0"/>
          <w:sz w:val="22"/>
          <w:szCs w:val="22"/>
        </w:rPr>
        <w:t>, we have the following possibilities:</w:t>
      </w:r>
    </w:p>
    <w:p w14:paraId="70CB5E85" w14:textId="72E9470C" w:rsidR="004B5820" w:rsidRDefault="004B5820" w:rsidP="004B5820">
      <w:pPr>
        <w:pStyle w:val="LGTdoc1"/>
        <w:numPr>
          <w:ilvl w:val="0"/>
          <w:numId w:val="48"/>
        </w:numPr>
        <w:spacing w:beforeLines="0" w:before="120" w:after="220" w:afterAutospacing="0"/>
        <w:rPr>
          <w:b w:val="0"/>
          <w:sz w:val="22"/>
          <w:szCs w:val="22"/>
        </w:rPr>
      </w:pPr>
      <w:r>
        <w:rPr>
          <w:b w:val="0"/>
          <w:sz w:val="22"/>
          <w:szCs w:val="22"/>
        </w:rPr>
        <w:t xml:space="preserve">Normal </w:t>
      </w:r>
      <w:proofErr w:type="spellStart"/>
      <w:r>
        <w:rPr>
          <w:b w:val="0"/>
          <w:sz w:val="22"/>
          <w:szCs w:val="22"/>
        </w:rPr>
        <w:t>subframe</w:t>
      </w:r>
      <w:proofErr w:type="spellEnd"/>
      <w:r>
        <w:rPr>
          <w:b w:val="0"/>
          <w:sz w:val="22"/>
          <w:szCs w:val="22"/>
        </w:rPr>
        <w:t xml:space="preserve">, control region is </w:t>
      </w:r>
      <w:r w:rsidR="00BF0A94">
        <w:rPr>
          <w:b w:val="0"/>
          <w:sz w:val="22"/>
          <w:szCs w:val="22"/>
        </w:rPr>
        <w:t>present</w:t>
      </w:r>
    </w:p>
    <w:p w14:paraId="0F156E40" w14:textId="1CCC8660" w:rsidR="004B5820" w:rsidRDefault="004B5820" w:rsidP="004B5820">
      <w:pPr>
        <w:pStyle w:val="LGTdoc1"/>
        <w:numPr>
          <w:ilvl w:val="0"/>
          <w:numId w:val="48"/>
        </w:numPr>
        <w:spacing w:beforeLines="0" w:before="120" w:after="220" w:afterAutospacing="0"/>
        <w:rPr>
          <w:b w:val="0"/>
          <w:sz w:val="22"/>
          <w:szCs w:val="22"/>
        </w:rPr>
      </w:pPr>
      <w:r>
        <w:rPr>
          <w:b w:val="0"/>
          <w:sz w:val="22"/>
          <w:szCs w:val="22"/>
        </w:rPr>
        <w:t xml:space="preserve">MBSFN </w:t>
      </w:r>
      <w:proofErr w:type="spellStart"/>
      <w:r>
        <w:rPr>
          <w:b w:val="0"/>
          <w:sz w:val="22"/>
          <w:szCs w:val="22"/>
        </w:rPr>
        <w:t>subframe</w:t>
      </w:r>
      <w:proofErr w:type="spellEnd"/>
      <w:r>
        <w:rPr>
          <w:b w:val="0"/>
          <w:sz w:val="22"/>
          <w:szCs w:val="22"/>
        </w:rPr>
        <w:t>, control region is present</w:t>
      </w:r>
    </w:p>
    <w:p w14:paraId="374C5105" w14:textId="45C4D1A1" w:rsidR="004B5820" w:rsidRPr="004B5820" w:rsidRDefault="004B5820" w:rsidP="00320ADD">
      <w:pPr>
        <w:pStyle w:val="LGTdoc1"/>
        <w:numPr>
          <w:ilvl w:val="0"/>
          <w:numId w:val="48"/>
        </w:numPr>
        <w:spacing w:beforeLines="0" w:before="120" w:after="220" w:afterAutospacing="0"/>
        <w:rPr>
          <w:b w:val="0"/>
          <w:sz w:val="22"/>
          <w:szCs w:val="22"/>
        </w:rPr>
      </w:pPr>
      <w:r w:rsidRPr="004B5820">
        <w:rPr>
          <w:b w:val="0"/>
          <w:sz w:val="22"/>
          <w:szCs w:val="22"/>
        </w:rPr>
        <w:t xml:space="preserve">MBSFN </w:t>
      </w:r>
      <w:proofErr w:type="spellStart"/>
      <w:r w:rsidRPr="004B5820">
        <w:rPr>
          <w:b w:val="0"/>
          <w:sz w:val="22"/>
          <w:szCs w:val="22"/>
        </w:rPr>
        <w:t>subframe</w:t>
      </w:r>
      <w:proofErr w:type="spellEnd"/>
      <w:r w:rsidRPr="004B5820">
        <w:rPr>
          <w:b w:val="0"/>
          <w:sz w:val="22"/>
          <w:szCs w:val="22"/>
        </w:rPr>
        <w:t>, control region is not present</w:t>
      </w:r>
    </w:p>
    <w:p w14:paraId="709AD6A3" w14:textId="37DB98C3" w:rsidR="004B5820" w:rsidRDefault="004B5820" w:rsidP="00597774">
      <w:pPr>
        <w:pStyle w:val="LGTdoc1"/>
        <w:spacing w:beforeLines="0" w:before="120" w:after="220" w:afterAutospacing="0"/>
        <w:rPr>
          <w:b w:val="0"/>
          <w:sz w:val="22"/>
          <w:szCs w:val="22"/>
        </w:rPr>
      </w:pPr>
      <w:r>
        <w:rPr>
          <w:b w:val="0"/>
          <w:sz w:val="22"/>
          <w:szCs w:val="22"/>
        </w:rPr>
        <w:t xml:space="preserve">Thus, we need only 1.5 bits to signal the information for each </w:t>
      </w:r>
      <w:proofErr w:type="spellStart"/>
      <w:r>
        <w:rPr>
          <w:b w:val="0"/>
          <w:sz w:val="22"/>
          <w:szCs w:val="22"/>
        </w:rPr>
        <w:t>subframe</w:t>
      </w:r>
      <w:proofErr w:type="spellEnd"/>
      <w:r>
        <w:rPr>
          <w:b w:val="0"/>
          <w:sz w:val="22"/>
          <w:szCs w:val="22"/>
        </w:rPr>
        <w:t>. If we increase the MBSFN size to 79 bits (80ms periodicity with 1ms for discovery), this joint signalling can reduce the SIB payload size by 40 bits.</w:t>
      </w:r>
    </w:p>
    <w:p w14:paraId="689EC330" w14:textId="3A38B091" w:rsidR="004B5820" w:rsidRPr="004B5820" w:rsidRDefault="004B5820" w:rsidP="00597774">
      <w:pPr>
        <w:pStyle w:val="LGTdoc1"/>
        <w:spacing w:beforeLines="0" w:before="120" w:after="220" w:afterAutospacing="0"/>
        <w:rPr>
          <w:sz w:val="22"/>
          <w:szCs w:val="22"/>
        </w:rPr>
      </w:pPr>
      <w:r w:rsidRPr="004B5820">
        <w:rPr>
          <w:sz w:val="22"/>
          <w:szCs w:val="22"/>
          <w:u w:val="single"/>
        </w:rPr>
        <w:t xml:space="preserve">Proposal 1: </w:t>
      </w:r>
      <w:r w:rsidRPr="004B5820">
        <w:rPr>
          <w:sz w:val="22"/>
          <w:szCs w:val="22"/>
        </w:rPr>
        <w:t xml:space="preserve">The presence of control region is jointly encoded with the MBSFN </w:t>
      </w:r>
      <w:proofErr w:type="spellStart"/>
      <w:r w:rsidRPr="004B5820">
        <w:rPr>
          <w:sz w:val="22"/>
          <w:szCs w:val="22"/>
        </w:rPr>
        <w:t>subframe</w:t>
      </w:r>
      <w:proofErr w:type="spellEnd"/>
      <w:r w:rsidRPr="004B5820">
        <w:rPr>
          <w:sz w:val="22"/>
          <w:szCs w:val="22"/>
        </w:rPr>
        <w:t xml:space="preserve"> configuration.</w:t>
      </w:r>
    </w:p>
    <w:p w14:paraId="7590358D" w14:textId="449DBC2E" w:rsidR="002B7F75" w:rsidRDefault="002B7F75" w:rsidP="004B582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Interaction</w:t>
      </w:r>
      <w:r w:rsidR="004B5820">
        <w:rPr>
          <w:rFonts w:ascii="Arial" w:hAnsi="Arial" w:cs="Arial"/>
          <w:lang w:val="en-US"/>
        </w:rPr>
        <w:t xml:space="preserve"> of longer CP</w:t>
      </w:r>
      <w:r>
        <w:rPr>
          <w:rFonts w:ascii="Arial" w:hAnsi="Arial" w:cs="Arial"/>
          <w:lang w:val="en-US"/>
        </w:rPr>
        <w:t xml:space="preserve"> with control region</w:t>
      </w:r>
    </w:p>
    <w:p w14:paraId="7D545842" w14:textId="59466293" w:rsidR="00AC1A31" w:rsidRDefault="00AC1A31" w:rsidP="00AC1A31">
      <w:pPr>
        <w:pStyle w:val="LGTdoc1"/>
        <w:spacing w:beforeLines="0" w:before="120" w:after="220" w:afterAutospacing="0"/>
        <w:rPr>
          <w:b w:val="0"/>
          <w:sz w:val="22"/>
          <w:szCs w:val="22"/>
        </w:rPr>
      </w:pPr>
      <w:r>
        <w:rPr>
          <w:b w:val="0"/>
          <w:sz w:val="22"/>
          <w:szCs w:val="22"/>
        </w:rPr>
        <w:t>In current LTE specification the MBSFN numerology is defined regardless of the presence of control symbols. If the control region and MBSFN numerologies are different, then there is a fraction of the transmitted waveform that is not defined by the specification. This approach is not efficient anymore if we want to support longer CP.</w:t>
      </w:r>
      <w:r w:rsidR="00DA0154">
        <w:rPr>
          <w:b w:val="0"/>
          <w:sz w:val="22"/>
          <w:szCs w:val="22"/>
        </w:rPr>
        <w:t xml:space="preserve"> </w:t>
      </w:r>
    </w:p>
    <w:p w14:paraId="4D7F2FB3" w14:textId="1DC2DAFA" w:rsidR="00AE22BC" w:rsidRDefault="00AE22BC" w:rsidP="00AC1A31">
      <w:pPr>
        <w:pStyle w:val="LGTdoc1"/>
        <w:spacing w:beforeLines="0" w:before="120" w:after="220" w:afterAutospacing="0"/>
        <w:rPr>
          <w:b w:val="0"/>
          <w:sz w:val="22"/>
          <w:szCs w:val="22"/>
        </w:rPr>
      </w:pPr>
      <w:r>
        <w:rPr>
          <w:b w:val="0"/>
          <w:sz w:val="22"/>
          <w:szCs w:val="22"/>
        </w:rPr>
        <w:t xml:space="preserve">In the case with 1 control symbol, for example, the </w:t>
      </w:r>
      <w:r w:rsidR="00DA0154">
        <w:rPr>
          <w:b w:val="0"/>
          <w:sz w:val="22"/>
          <w:szCs w:val="22"/>
        </w:rPr>
        <w:t>basic 200us</w:t>
      </w:r>
      <w:r>
        <w:rPr>
          <w:b w:val="0"/>
          <w:sz w:val="22"/>
          <w:szCs w:val="22"/>
        </w:rPr>
        <w:t xml:space="preserve"> numerology</w:t>
      </w:r>
      <w:r w:rsidR="00DA0154">
        <w:rPr>
          <w:b w:val="0"/>
          <w:sz w:val="22"/>
          <w:szCs w:val="22"/>
        </w:rPr>
        <w:t xml:space="preserve"> without CP</w:t>
      </w:r>
      <w:r>
        <w:rPr>
          <w:b w:val="0"/>
          <w:sz w:val="22"/>
          <w:szCs w:val="22"/>
        </w:rPr>
        <w:t xml:space="preserve"> can be replaced by a 200us numerology where the CP is punctured by the control region. The specification should allow for this type of operation (e.g. p</w:t>
      </w:r>
      <w:r w:rsidR="00CF632E">
        <w:rPr>
          <w:b w:val="0"/>
          <w:sz w:val="22"/>
          <w:szCs w:val="22"/>
        </w:rPr>
        <w:t>uncturing) for the new CP sizes if a legacy control region is needed.</w:t>
      </w:r>
    </w:p>
    <w:p w14:paraId="22D5416F" w14:textId="59F55F6B" w:rsidR="00C244E4" w:rsidRDefault="00DA0154" w:rsidP="00F853C4">
      <w:pPr>
        <w:pStyle w:val="Caption"/>
        <w:jc w:val="center"/>
        <w:rPr>
          <w:b w:val="0"/>
          <w:sz w:val="22"/>
          <w:szCs w:val="22"/>
        </w:rPr>
      </w:pPr>
      <w:r>
        <w:rPr>
          <w:b w:val="0"/>
          <w:sz w:val="22"/>
          <w:szCs w:val="22"/>
        </w:rPr>
        <w:object w:dxaOrig="7794" w:dyaOrig="2809" w14:anchorId="65F97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140.55pt" o:ole="">
            <v:imagedata r:id="rId14" o:title=""/>
          </v:shape>
          <o:OLEObject Type="Embed" ProgID="Visio.Drawing.11" ShapeID="_x0000_i1025" DrawAspect="Content" ObjectID="_1524675225" r:id="rId15"/>
        </w:object>
      </w:r>
    </w:p>
    <w:p w14:paraId="505486EF" w14:textId="2B9CDDED" w:rsidR="00AF510D" w:rsidRPr="00AF510D" w:rsidRDefault="00AF510D" w:rsidP="00AF510D">
      <w:pPr>
        <w:jc w:val="center"/>
        <w:rPr>
          <w:rFonts w:ascii="Times New Roman"/>
          <w:b/>
          <w:kern w:val="0"/>
          <w:szCs w:val="20"/>
          <w:lang w:val="en-GB" w:eastAsia="en-US"/>
        </w:rPr>
      </w:pPr>
      <w:r w:rsidRPr="00AF510D">
        <w:rPr>
          <w:rFonts w:ascii="Times New Roman"/>
          <w:b/>
          <w:kern w:val="0"/>
          <w:szCs w:val="20"/>
          <w:lang w:val="en-GB" w:eastAsia="en-US"/>
        </w:rPr>
        <w:t xml:space="preserve">Figure </w:t>
      </w:r>
      <w:r w:rsidRPr="00AF510D">
        <w:rPr>
          <w:rFonts w:ascii="Times New Roman"/>
          <w:b/>
          <w:kern w:val="0"/>
          <w:szCs w:val="20"/>
          <w:lang w:val="en-GB" w:eastAsia="en-US"/>
        </w:rPr>
        <w:fldChar w:fldCharType="begin"/>
      </w:r>
      <w:r w:rsidRPr="00AF510D">
        <w:rPr>
          <w:rFonts w:ascii="Times New Roman"/>
          <w:b/>
          <w:kern w:val="0"/>
          <w:szCs w:val="20"/>
          <w:lang w:val="en-GB" w:eastAsia="en-US"/>
        </w:rPr>
        <w:instrText xml:space="preserve"> SEQ Figure \* ARABIC </w:instrText>
      </w:r>
      <w:r w:rsidRPr="00AF510D">
        <w:rPr>
          <w:rFonts w:ascii="Times New Roman"/>
          <w:b/>
          <w:kern w:val="0"/>
          <w:szCs w:val="20"/>
          <w:lang w:val="en-GB" w:eastAsia="en-US"/>
        </w:rPr>
        <w:fldChar w:fldCharType="separate"/>
      </w:r>
      <w:r w:rsidRPr="00AF510D">
        <w:rPr>
          <w:rFonts w:ascii="Times New Roman"/>
          <w:b/>
          <w:kern w:val="0"/>
          <w:szCs w:val="20"/>
          <w:lang w:val="en-GB" w:eastAsia="en-US"/>
        </w:rPr>
        <w:t>2</w:t>
      </w:r>
      <w:r w:rsidRPr="00AF510D">
        <w:rPr>
          <w:rFonts w:ascii="Times New Roman"/>
          <w:b/>
          <w:kern w:val="0"/>
          <w:szCs w:val="20"/>
          <w:lang w:val="en-GB" w:eastAsia="en-US"/>
        </w:rPr>
        <w:fldChar w:fldCharType="end"/>
      </w:r>
      <w:r w:rsidRPr="00AF510D">
        <w:rPr>
          <w:rFonts w:ascii="Times New Roman"/>
          <w:b/>
          <w:kern w:val="0"/>
          <w:szCs w:val="20"/>
          <w:lang w:val="en-GB" w:eastAsia="en-US"/>
        </w:rPr>
        <w:t xml:space="preserve"> Different CP options and numerologies for control and control-less MBSFN </w:t>
      </w:r>
      <w:proofErr w:type="spellStart"/>
      <w:r w:rsidRPr="00AF510D">
        <w:rPr>
          <w:rFonts w:ascii="Times New Roman"/>
          <w:b/>
          <w:kern w:val="0"/>
          <w:szCs w:val="20"/>
          <w:lang w:val="en-GB" w:eastAsia="en-US"/>
        </w:rPr>
        <w:t>subframes</w:t>
      </w:r>
      <w:proofErr w:type="spellEnd"/>
    </w:p>
    <w:p w14:paraId="431A3629" w14:textId="77777777" w:rsidR="00C77C28" w:rsidRDefault="00C77C28" w:rsidP="00AC1A31">
      <w:pPr>
        <w:pStyle w:val="LGTdoc1"/>
        <w:spacing w:beforeLines="0" w:before="120" w:after="220" w:afterAutospacing="0"/>
        <w:rPr>
          <w:b w:val="0"/>
          <w:sz w:val="22"/>
          <w:szCs w:val="22"/>
        </w:rPr>
      </w:pPr>
    </w:p>
    <w:p w14:paraId="202BF58F" w14:textId="2313BD3E" w:rsidR="002E0275" w:rsidRDefault="00C77C28" w:rsidP="00AC1A31">
      <w:pPr>
        <w:pStyle w:val="LGTdoc1"/>
        <w:spacing w:beforeLines="0" w:before="120" w:after="220" w:afterAutospacing="0"/>
        <w:rPr>
          <w:b w:val="0"/>
          <w:sz w:val="22"/>
          <w:szCs w:val="22"/>
        </w:rPr>
      </w:pPr>
      <w:r>
        <w:rPr>
          <w:b w:val="0"/>
          <w:sz w:val="22"/>
          <w:szCs w:val="22"/>
        </w:rPr>
        <w:t xml:space="preserve">Additionally, there may be limited use for control region in </w:t>
      </w:r>
      <w:proofErr w:type="spellStart"/>
      <w:r>
        <w:rPr>
          <w:b w:val="0"/>
          <w:sz w:val="22"/>
          <w:szCs w:val="22"/>
        </w:rPr>
        <w:t>subframes</w:t>
      </w:r>
      <w:proofErr w:type="spellEnd"/>
      <w:r>
        <w:rPr>
          <w:b w:val="0"/>
          <w:sz w:val="22"/>
          <w:szCs w:val="22"/>
        </w:rPr>
        <w:t xml:space="preserve"> with longer CP for standalone and </w:t>
      </w:r>
      <w:proofErr w:type="spellStart"/>
      <w:r>
        <w:rPr>
          <w:b w:val="0"/>
          <w:sz w:val="22"/>
          <w:szCs w:val="22"/>
        </w:rPr>
        <w:t>SCell</w:t>
      </w:r>
      <w:proofErr w:type="spellEnd"/>
      <w:r>
        <w:rPr>
          <w:b w:val="0"/>
          <w:sz w:val="22"/>
          <w:szCs w:val="22"/>
        </w:rPr>
        <w:t xml:space="preserve"> MBSFN cases. Thus, RAN1 should prioritize the definition of longer CP for the case of no control region.</w:t>
      </w:r>
    </w:p>
    <w:p w14:paraId="20EDD34E" w14:textId="77777777" w:rsidR="004B5820" w:rsidRPr="002F1E53" w:rsidRDefault="004B5820" w:rsidP="00AC1A31">
      <w:pPr>
        <w:pStyle w:val="LGTdoc1"/>
        <w:spacing w:beforeLines="0" w:before="120" w:after="220" w:afterAutospacing="0"/>
        <w:rPr>
          <w:sz w:val="22"/>
          <w:szCs w:val="22"/>
          <w:highlight w:val="yellow"/>
          <w:u w:val="single"/>
        </w:rPr>
      </w:pPr>
    </w:p>
    <w:p w14:paraId="296332F3" w14:textId="3ED1B6FB" w:rsidR="00AC1A31" w:rsidRPr="004B5820" w:rsidRDefault="004B5820" w:rsidP="00AC1A31">
      <w:pPr>
        <w:pStyle w:val="LGTdoc1"/>
        <w:spacing w:beforeLines="0" w:before="120" w:after="220" w:afterAutospacing="0"/>
        <w:rPr>
          <w:sz w:val="22"/>
          <w:szCs w:val="22"/>
        </w:rPr>
      </w:pPr>
      <w:r w:rsidRPr="00DA0154">
        <w:rPr>
          <w:sz w:val="22"/>
          <w:szCs w:val="22"/>
          <w:u w:val="single"/>
        </w:rPr>
        <w:t xml:space="preserve">Observation 1: </w:t>
      </w:r>
      <w:r w:rsidRPr="00DA0154">
        <w:rPr>
          <w:sz w:val="22"/>
          <w:szCs w:val="22"/>
        </w:rPr>
        <w:t>Supporting longer CP and control region simultaneously is possible by redefining the interaction between control and MBSFN region (e.g. by</w:t>
      </w:r>
      <w:r w:rsidR="00DA0154" w:rsidRPr="00DA0154">
        <w:rPr>
          <w:sz w:val="22"/>
          <w:szCs w:val="22"/>
        </w:rPr>
        <w:t xml:space="preserve"> puncturing the CP by the control region for long CP values</w:t>
      </w:r>
      <w:r w:rsidRPr="00DA0154">
        <w:rPr>
          <w:sz w:val="22"/>
          <w:szCs w:val="22"/>
        </w:rPr>
        <w:t>).</w:t>
      </w:r>
    </w:p>
    <w:p w14:paraId="5EC79550" w14:textId="7FD1625B" w:rsidR="004B5820" w:rsidRPr="004B5820" w:rsidRDefault="004B5820" w:rsidP="00AC1A31">
      <w:pPr>
        <w:pStyle w:val="LGTdoc1"/>
        <w:spacing w:beforeLines="0" w:before="120" w:after="220" w:afterAutospacing="0"/>
        <w:rPr>
          <w:sz w:val="22"/>
          <w:szCs w:val="22"/>
        </w:rPr>
      </w:pPr>
      <w:r w:rsidRPr="004B5820">
        <w:rPr>
          <w:sz w:val="22"/>
          <w:szCs w:val="22"/>
          <w:u w:val="single"/>
        </w:rPr>
        <w:t>Observation 2:</w:t>
      </w:r>
      <w:r w:rsidRPr="004B5820">
        <w:rPr>
          <w:sz w:val="22"/>
          <w:szCs w:val="22"/>
        </w:rPr>
        <w:t xml:space="preserve"> The</w:t>
      </w:r>
      <w:r w:rsidR="002F1E53">
        <w:rPr>
          <w:sz w:val="22"/>
          <w:szCs w:val="22"/>
        </w:rPr>
        <w:t>re may be limited use for</w:t>
      </w:r>
      <w:r w:rsidRPr="004B5820">
        <w:rPr>
          <w:sz w:val="22"/>
          <w:szCs w:val="22"/>
        </w:rPr>
        <w:t xml:space="preserve"> control region in </w:t>
      </w:r>
      <w:proofErr w:type="spellStart"/>
      <w:r w:rsidR="002F1E53">
        <w:rPr>
          <w:sz w:val="22"/>
          <w:szCs w:val="22"/>
        </w:rPr>
        <w:t>subframes</w:t>
      </w:r>
      <w:proofErr w:type="spellEnd"/>
      <w:r w:rsidR="002F1E53">
        <w:rPr>
          <w:sz w:val="22"/>
          <w:szCs w:val="22"/>
        </w:rPr>
        <w:t xml:space="preserve"> with longer CP </w:t>
      </w:r>
      <w:r w:rsidRPr="004B5820">
        <w:rPr>
          <w:sz w:val="22"/>
          <w:szCs w:val="22"/>
        </w:rPr>
        <w:t xml:space="preserve">in the standalone and </w:t>
      </w:r>
      <w:proofErr w:type="spellStart"/>
      <w:r w:rsidRPr="004B5820">
        <w:rPr>
          <w:sz w:val="22"/>
          <w:szCs w:val="22"/>
        </w:rPr>
        <w:t>SCell</w:t>
      </w:r>
      <w:proofErr w:type="spellEnd"/>
      <w:r w:rsidRPr="004B5820">
        <w:rPr>
          <w:sz w:val="22"/>
          <w:szCs w:val="22"/>
        </w:rPr>
        <w:t xml:space="preserve"> MBSFN cases.</w:t>
      </w:r>
    </w:p>
    <w:p w14:paraId="612EEEBD" w14:textId="6C75F46C" w:rsidR="004B5820" w:rsidRPr="004B5820" w:rsidRDefault="004B5820" w:rsidP="00AC1A31">
      <w:pPr>
        <w:pStyle w:val="LGTdoc1"/>
        <w:spacing w:beforeLines="0" w:before="120" w:after="220" w:afterAutospacing="0"/>
        <w:rPr>
          <w:sz w:val="22"/>
          <w:szCs w:val="22"/>
          <w:u w:val="single"/>
        </w:rPr>
      </w:pPr>
      <w:r w:rsidRPr="004B5820">
        <w:rPr>
          <w:sz w:val="22"/>
          <w:szCs w:val="22"/>
          <w:u w:val="single"/>
        </w:rPr>
        <w:t xml:space="preserve">Proposal </w:t>
      </w:r>
      <w:r>
        <w:rPr>
          <w:sz w:val="22"/>
          <w:szCs w:val="22"/>
          <w:u w:val="single"/>
        </w:rPr>
        <w:t>2</w:t>
      </w:r>
      <w:r w:rsidRPr="004B5820">
        <w:rPr>
          <w:sz w:val="22"/>
          <w:szCs w:val="22"/>
          <w:u w:val="single"/>
        </w:rPr>
        <w:t>:</w:t>
      </w:r>
      <w:r>
        <w:rPr>
          <w:b w:val="0"/>
          <w:sz w:val="22"/>
          <w:szCs w:val="22"/>
        </w:rPr>
        <w:t xml:space="preserve"> </w:t>
      </w:r>
      <w:r w:rsidRPr="004B5820">
        <w:rPr>
          <w:sz w:val="22"/>
          <w:szCs w:val="22"/>
        </w:rPr>
        <w:t>Prioritize</w:t>
      </w:r>
      <w:r>
        <w:rPr>
          <w:sz w:val="22"/>
          <w:szCs w:val="22"/>
        </w:rPr>
        <w:t xml:space="preserve"> the definition of new numerologies with longer CP for the case of no control region.</w:t>
      </w:r>
      <w:r w:rsidR="002F1E53">
        <w:rPr>
          <w:sz w:val="22"/>
          <w:szCs w:val="22"/>
        </w:rPr>
        <w:t xml:space="preserve"> If control region is desired, it can puncture the CP</w:t>
      </w:r>
      <w:r w:rsidR="00DA0154">
        <w:rPr>
          <w:sz w:val="22"/>
          <w:szCs w:val="22"/>
        </w:rPr>
        <w:t>.</w:t>
      </w:r>
    </w:p>
    <w:p w14:paraId="261FB1BB" w14:textId="77777777" w:rsidR="00AE22BC" w:rsidRPr="00B448A6" w:rsidRDefault="00AE22BC" w:rsidP="005300F0">
      <w:pPr>
        <w:pStyle w:val="LGTdoc1"/>
        <w:spacing w:beforeLines="0" w:before="120" w:after="220" w:afterAutospacing="0"/>
        <w:rPr>
          <w:sz w:val="22"/>
          <w:szCs w:val="22"/>
          <w:u w:val="single"/>
          <w:lang w:val="en-US"/>
        </w:rPr>
      </w:pPr>
    </w:p>
    <w:p w14:paraId="22AA2E56" w14:textId="48B557A8" w:rsidR="0031486A" w:rsidRDefault="0031486A" w:rsidP="004B5820">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49E53879" w14:textId="77777777" w:rsidR="004B5820" w:rsidRPr="004B5820" w:rsidRDefault="004B5820" w:rsidP="004B5820">
      <w:pPr>
        <w:pStyle w:val="LGTdoc1"/>
        <w:spacing w:beforeLines="0" w:before="120" w:after="220" w:afterAutospacing="0"/>
        <w:rPr>
          <w:sz w:val="22"/>
          <w:szCs w:val="22"/>
        </w:rPr>
      </w:pPr>
      <w:r w:rsidRPr="004B5820">
        <w:rPr>
          <w:sz w:val="22"/>
          <w:szCs w:val="22"/>
          <w:u w:val="single"/>
        </w:rPr>
        <w:t xml:space="preserve">Proposal 1: </w:t>
      </w:r>
      <w:r w:rsidRPr="004B5820">
        <w:rPr>
          <w:sz w:val="22"/>
          <w:szCs w:val="22"/>
        </w:rPr>
        <w:t xml:space="preserve">The presence of control region is jointly encoded with the MBSFN </w:t>
      </w:r>
      <w:proofErr w:type="spellStart"/>
      <w:r w:rsidRPr="004B5820">
        <w:rPr>
          <w:sz w:val="22"/>
          <w:szCs w:val="22"/>
        </w:rPr>
        <w:t>subframe</w:t>
      </w:r>
      <w:proofErr w:type="spellEnd"/>
      <w:r w:rsidRPr="004B5820">
        <w:rPr>
          <w:sz w:val="22"/>
          <w:szCs w:val="22"/>
        </w:rPr>
        <w:t xml:space="preserve"> configuration.</w:t>
      </w:r>
    </w:p>
    <w:p w14:paraId="14ADA6B0" w14:textId="605F8CD6" w:rsidR="00DA0154" w:rsidRPr="004B5820" w:rsidRDefault="00DA0154" w:rsidP="00DA0154">
      <w:pPr>
        <w:pStyle w:val="LGTdoc1"/>
        <w:spacing w:beforeLines="0" w:before="120" w:after="220" w:afterAutospacing="0"/>
        <w:rPr>
          <w:sz w:val="22"/>
          <w:szCs w:val="22"/>
        </w:rPr>
      </w:pPr>
      <w:r w:rsidRPr="00DA0154">
        <w:rPr>
          <w:sz w:val="22"/>
          <w:szCs w:val="22"/>
          <w:u w:val="single"/>
        </w:rPr>
        <w:t xml:space="preserve">Observation 1: </w:t>
      </w:r>
      <w:r w:rsidRPr="00DA0154">
        <w:rPr>
          <w:sz w:val="22"/>
          <w:szCs w:val="22"/>
        </w:rPr>
        <w:t>Supporting longer CP and control region simultaneously is possible by redefining the interaction between control and MBSFN region (e.g. by puncturing the CP by the control region for long CP values).</w:t>
      </w:r>
    </w:p>
    <w:p w14:paraId="64E06528" w14:textId="77777777" w:rsidR="00DA0154" w:rsidRPr="004B5820" w:rsidRDefault="00DA0154" w:rsidP="00DA0154">
      <w:pPr>
        <w:pStyle w:val="LGTdoc1"/>
        <w:spacing w:beforeLines="0" w:before="120" w:after="220" w:afterAutospacing="0"/>
        <w:rPr>
          <w:sz w:val="22"/>
          <w:szCs w:val="22"/>
        </w:rPr>
      </w:pPr>
      <w:r w:rsidRPr="004B5820">
        <w:rPr>
          <w:sz w:val="22"/>
          <w:szCs w:val="22"/>
          <w:u w:val="single"/>
        </w:rPr>
        <w:t>Observation 2:</w:t>
      </w:r>
      <w:r w:rsidRPr="004B5820">
        <w:rPr>
          <w:sz w:val="22"/>
          <w:szCs w:val="22"/>
        </w:rPr>
        <w:t xml:space="preserve"> The</w:t>
      </w:r>
      <w:r>
        <w:rPr>
          <w:sz w:val="22"/>
          <w:szCs w:val="22"/>
        </w:rPr>
        <w:t>re may be limited use for</w:t>
      </w:r>
      <w:r w:rsidRPr="004B5820">
        <w:rPr>
          <w:sz w:val="22"/>
          <w:szCs w:val="22"/>
        </w:rPr>
        <w:t xml:space="preserve"> control region in </w:t>
      </w:r>
      <w:proofErr w:type="spellStart"/>
      <w:r>
        <w:rPr>
          <w:sz w:val="22"/>
          <w:szCs w:val="22"/>
        </w:rPr>
        <w:t>subframes</w:t>
      </w:r>
      <w:proofErr w:type="spellEnd"/>
      <w:r>
        <w:rPr>
          <w:sz w:val="22"/>
          <w:szCs w:val="22"/>
        </w:rPr>
        <w:t xml:space="preserve"> with longer CP </w:t>
      </w:r>
      <w:r w:rsidRPr="004B5820">
        <w:rPr>
          <w:sz w:val="22"/>
          <w:szCs w:val="22"/>
        </w:rPr>
        <w:t xml:space="preserve">in the standalone and </w:t>
      </w:r>
      <w:proofErr w:type="spellStart"/>
      <w:r w:rsidRPr="004B5820">
        <w:rPr>
          <w:sz w:val="22"/>
          <w:szCs w:val="22"/>
        </w:rPr>
        <w:t>SCell</w:t>
      </w:r>
      <w:proofErr w:type="spellEnd"/>
      <w:r w:rsidRPr="004B5820">
        <w:rPr>
          <w:sz w:val="22"/>
          <w:szCs w:val="22"/>
        </w:rPr>
        <w:t xml:space="preserve"> MBSFN cases.</w:t>
      </w:r>
    </w:p>
    <w:p w14:paraId="0F95AAB7" w14:textId="77777777" w:rsidR="00DA0154" w:rsidRPr="004B5820" w:rsidRDefault="00DA0154" w:rsidP="00DA0154">
      <w:pPr>
        <w:pStyle w:val="LGTdoc1"/>
        <w:spacing w:beforeLines="0" w:before="120" w:after="220" w:afterAutospacing="0"/>
        <w:rPr>
          <w:sz w:val="22"/>
          <w:szCs w:val="22"/>
          <w:u w:val="single"/>
        </w:rPr>
      </w:pPr>
      <w:r w:rsidRPr="004B5820">
        <w:rPr>
          <w:sz w:val="22"/>
          <w:szCs w:val="22"/>
          <w:u w:val="single"/>
        </w:rPr>
        <w:t xml:space="preserve">Proposal </w:t>
      </w:r>
      <w:r>
        <w:rPr>
          <w:sz w:val="22"/>
          <w:szCs w:val="22"/>
          <w:u w:val="single"/>
        </w:rPr>
        <w:t>2</w:t>
      </w:r>
      <w:r w:rsidRPr="004B5820">
        <w:rPr>
          <w:sz w:val="22"/>
          <w:szCs w:val="22"/>
          <w:u w:val="single"/>
        </w:rPr>
        <w:t>:</w:t>
      </w:r>
      <w:r>
        <w:rPr>
          <w:b w:val="0"/>
          <w:sz w:val="22"/>
          <w:szCs w:val="22"/>
        </w:rPr>
        <w:t xml:space="preserve"> </w:t>
      </w:r>
      <w:r w:rsidRPr="004B5820">
        <w:rPr>
          <w:sz w:val="22"/>
          <w:szCs w:val="22"/>
        </w:rPr>
        <w:t>Prioritize</w:t>
      </w:r>
      <w:r>
        <w:rPr>
          <w:sz w:val="22"/>
          <w:szCs w:val="22"/>
        </w:rPr>
        <w:t xml:space="preserve"> the definition of new numerologies with longer CP for the case of no control region. If control region is desired, it can puncture the CP.</w:t>
      </w:r>
    </w:p>
    <w:p w14:paraId="5052A127" w14:textId="77777777" w:rsidR="00863371" w:rsidRDefault="00863371" w:rsidP="00E77804">
      <w:pPr>
        <w:pStyle w:val="LGTdoc1"/>
        <w:spacing w:beforeLines="0" w:before="120" w:after="220" w:afterAutospacing="0"/>
        <w:rPr>
          <w:rFonts w:ascii="Arial" w:hAnsi="Arial" w:cs="Arial"/>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31C105C8" w:rsidR="00111B9A" w:rsidRPr="002B7F75"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w:t>
      </w:r>
      <w:r w:rsidR="00005ED2">
        <w:rPr>
          <w:b w:val="0"/>
          <w:sz w:val="22"/>
          <w:szCs w:val="22"/>
        </w:rPr>
        <w:t xml:space="preserve">comm Inc. Nokia Networks, EBU; </w:t>
      </w:r>
      <w:r w:rsidR="003775E1" w:rsidRPr="003775E1">
        <w:rPr>
          <w:b w:val="0"/>
          <w:sz w:val="22"/>
          <w:szCs w:val="22"/>
        </w:rPr>
        <w:t>3GPP R</w:t>
      </w:r>
      <w:bookmarkStart w:id="2" w:name="_GoBack"/>
      <w:bookmarkEnd w:id="2"/>
      <w:r w:rsidR="003775E1" w:rsidRPr="003775E1">
        <w:rPr>
          <w:b w:val="0"/>
          <w:sz w:val="22"/>
          <w:szCs w:val="22"/>
        </w:rPr>
        <w:t>AN #71</w:t>
      </w:r>
      <w:r w:rsidR="003775E1">
        <w:rPr>
          <w:b w:val="0"/>
          <w:sz w:val="22"/>
          <w:szCs w:val="22"/>
        </w:rPr>
        <w:t xml:space="preserve">, </w:t>
      </w:r>
      <w:r w:rsidR="003775E1" w:rsidRPr="003775E1">
        <w:rPr>
          <w:b w:val="0"/>
          <w:sz w:val="22"/>
          <w:szCs w:val="22"/>
        </w:rPr>
        <w:t>Goteborg, Sweden, March 2016</w:t>
      </w:r>
    </w:p>
    <w:sectPr w:rsidR="00111B9A" w:rsidRPr="002B7F75"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8368B" w14:textId="77777777" w:rsidR="003A2E1E" w:rsidRDefault="003A2E1E">
      <w:r>
        <w:separator/>
      </w:r>
    </w:p>
  </w:endnote>
  <w:endnote w:type="continuationSeparator" w:id="0">
    <w:p w14:paraId="401E9B85" w14:textId="77777777" w:rsidR="003A2E1E" w:rsidRDefault="003A2E1E">
      <w:r>
        <w:continuationSeparator/>
      </w:r>
    </w:p>
  </w:endnote>
  <w:endnote w:type="continuationNotice" w:id="1">
    <w:p w14:paraId="67F738A7" w14:textId="77777777" w:rsidR="003A2E1E" w:rsidRDefault="003A2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05ED2">
      <w:rPr>
        <w:rStyle w:val="PageNumber"/>
        <w:noProof/>
      </w:rPr>
      <w:t>1</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BD2C3" w14:textId="77777777" w:rsidR="003A2E1E" w:rsidRDefault="003A2E1E">
      <w:r>
        <w:separator/>
      </w:r>
    </w:p>
  </w:footnote>
  <w:footnote w:type="continuationSeparator" w:id="0">
    <w:p w14:paraId="4616E32D" w14:textId="77777777" w:rsidR="003A2E1E" w:rsidRDefault="003A2E1E">
      <w:r>
        <w:continuationSeparator/>
      </w:r>
    </w:p>
  </w:footnote>
  <w:footnote w:type="continuationNotice" w:id="1">
    <w:p w14:paraId="25262C8B" w14:textId="77777777" w:rsidR="003A2E1E" w:rsidRDefault="003A2E1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035AA2"/>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9"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B6391"/>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645368"/>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6E32FA8"/>
    <w:multiLevelType w:val="hybridMultilevel"/>
    <w:tmpl w:val="0982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6"/>
  </w:num>
  <w:num w:numId="3">
    <w:abstractNumId w:val="28"/>
  </w:num>
  <w:num w:numId="4">
    <w:abstractNumId w:val="46"/>
  </w:num>
  <w:num w:numId="5">
    <w:abstractNumId w:val="47"/>
  </w:num>
  <w:num w:numId="6">
    <w:abstractNumId w:val="34"/>
  </w:num>
  <w:num w:numId="7">
    <w:abstractNumId w:val="9"/>
  </w:num>
  <w:num w:numId="8">
    <w:abstractNumId w:val="2"/>
  </w:num>
  <w:num w:numId="9">
    <w:abstractNumId w:val="36"/>
  </w:num>
  <w:num w:numId="10">
    <w:abstractNumId w:val="22"/>
  </w:num>
  <w:num w:numId="11">
    <w:abstractNumId w:val="26"/>
  </w:num>
  <w:num w:numId="12">
    <w:abstractNumId w:val="8"/>
  </w:num>
  <w:num w:numId="13">
    <w:abstractNumId w:val="41"/>
  </w:num>
  <w:num w:numId="14">
    <w:abstractNumId w:val="27"/>
  </w:num>
  <w:num w:numId="15">
    <w:abstractNumId w:val="20"/>
  </w:num>
  <w:num w:numId="16">
    <w:abstractNumId w:val="37"/>
  </w:num>
  <w:num w:numId="17">
    <w:abstractNumId w:val="32"/>
  </w:num>
  <w:num w:numId="18">
    <w:abstractNumId w:val="25"/>
  </w:num>
  <w:num w:numId="19">
    <w:abstractNumId w:val="13"/>
  </w:num>
  <w:num w:numId="20">
    <w:abstractNumId w:val="15"/>
  </w:num>
  <w:num w:numId="21">
    <w:abstractNumId w:val="33"/>
  </w:num>
  <w:num w:numId="22">
    <w:abstractNumId w:val="3"/>
  </w:num>
  <w:num w:numId="23">
    <w:abstractNumId w:val="24"/>
  </w:num>
  <w:num w:numId="24">
    <w:abstractNumId w:val="29"/>
  </w:num>
  <w:num w:numId="25">
    <w:abstractNumId w:val="35"/>
  </w:num>
  <w:num w:numId="26">
    <w:abstractNumId w:val="7"/>
  </w:num>
  <w:num w:numId="27">
    <w:abstractNumId w:val="1"/>
  </w:num>
  <w:num w:numId="28">
    <w:abstractNumId w:val="38"/>
  </w:num>
  <w:num w:numId="29">
    <w:abstractNumId w:val="6"/>
  </w:num>
  <w:num w:numId="30">
    <w:abstractNumId w:val="42"/>
  </w:num>
  <w:num w:numId="31">
    <w:abstractNumId w:val="5"/>
  </w:num>
  <w:num w:numId="32">
    <w:abstractNumId w:val="23"/>
  </w:num>
  <w:num w:numId="33">
    <w:abstractNumId w:val="19"/>
  </w:num>
  <w:num w:numId="34">
    <w:abstractNumId w:val="44"/>
  </w:num>
  <w:num w:numId="35">
    <w:abstractNumId w:val="30"/>
  </w:num>
  <w:num w:numId="36">
    <w:abstractNumId w:val="17"/>
  </w:num>
  <w:num w:numId="37">
    <w:abstractNumId w:val="45"/>
  </w:num>
  <w:num w:numId="38">
    <w:abstractNumId w:val="21"/>
  </w:num>
  <w:num w:numId="39">
    <w:abstractNumId w:val="10"/>
  </w:num>
  <w:num w:numId="40">
    <w:abstractNumId w:val="12"/>
  </w:num>
  <w:num w:numId="41">
    <w:abstractNumId w:val="11"/>
  </w:num>
  <w:num w:numId="42">
    <w:abstractNumId w:val="4"/>
  </w:num>
  <w:num w:numId="43">
    <w:abstractNumId w:val="0"/>
  </w:num>
  <w:num w:numId="44">
    <w:abstractNumId w:val="43"/>
  </w:num>
  <w:num w:numId="45">
    <w:abstractNumId w:val="14"/>
  </w:num>
  <w:num w:numId="46">
    <w:abstractNumId w:val="31"/>
  </w:num>
  <w:num w:numId="47">
    <w:abstractNumId w:val="39"/>
  </w:num>
  <w:num w:numId="48">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5ED2"/>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E53"/>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39B"/>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2E1E"/>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820"/>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5DF"/>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4BA"/>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A94"/>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8"/>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725"/>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54"/>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6C"/>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5ACTRJNS4X5K-3-3640</_dlc_DocId>
    <_dlc_DocIdUrl xmlns="09bf1062-b00c-4aa1-ba18-87ca9e63a56e">
      <Url>https://projects.qualcomm.com/sites/espresso/_layouts/15/DocIdRedir.aspx?ID=5ACTRJNS4X5K-3-3640</Url>
      <Description>5ACTRJNS4X5K-3-3640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B272CD6B-068C-414E-AF15-368DA26F007D}">
  <ds:schemaRefs>
    <ds:schemaRef ds:uri="http://schemas.openxmlformats.org/officeDocument/2006/bibliography"/>
  </ds:schemaRefs>
</ds:datastoreItem>
</file>

<file path=customXml/itemProps7.xml><?xml version="1.0" encoding="utf-8"?>
<ds:datastoreItem xmlns:ds="http://schemas.openxmlformats.org/officeDocument/2006/customXml" ds:itemID="{0B399473-9FEA-4843-9535-7518F1CE6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552</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10</cp:revision>
  <cp:lastPrinted>2010-08-13T21:54:00Z</cp:lastPrinted>
  <dcterms:created xsi:type="dcterms:W3CDTF">2016-05-11T01:18:00Z</dcterms:created>
  <dcterms:modified xsi:type="dcterms:W3CDTF">2016-05-14T03:07:00Z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17df1c64-d4a2-4140-83a5-77f44fe4e9bf</vt:lpwstr>
  </property>
</Properties>
</file>